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28" w:rsidRPr="000B34FF" w:rsidRDefault="000B34FF" w:rsidP="000B34FF">
      <w:pPr>
        <w:jc w:val="both"/>
        <w:rPr>
          <w:rFonts w:ascii="Arial" w:hAnsi="Arial" w:cs="Arial"/>
          <w:b/>
          <w:sz w:val="28"/>
          <w:szCs w:val="28"/>
          <w:u w:val="single"/>
          <w:lang w:val="es-ES_tradnl"/>
        </w:rPr>
      </w:pPr>
      <w:bookmarkStart w:id="0" w:name="_GoBack"/>
      <w:r w:rsidRPr="000B34FF"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Jurisprudencia constitucional sobre protección del </w:t>
      </w:r>
      <w:proofErr w:type="spellStart"/>
      <w:r w:rsidRPr="000B34FF">
        <w:rPr>
          <w:rFonts w:ascii="Arial" w:hAnsi="Arial" w:cs="Arial"/>
          <w:b/>
          <w:i/>
          <w:sz w:val="28"/>
          <w:szCs w:val="28"/>
          <w:u w:val="single"/>
          <w:lang w:val="es-ES_tradnl"/>
        </w:rPr>
        <w:t>nasciturus</w:t>
      </w:r>
      <w:proofErr w:type="spellEnd"/>
      <w:r w:rsidRPr="000B34FF">
        <w:rPr>
          <w:rFonts w:ascii="Arial" w:hAnsi="Arial" w:cs="Arial"/>
          <w:b/>
          <w:sz w:val="28"/>
          <w:szCs w:val="28"/>
          <w:u w:val="single"/>
          <w:lang w:val="es-ES_tradnl"/>
        </w:rPr>
        <w:t>.-</w:t>
      </w:r>
    </w:p>
    <w:bookmarkEnd w:id="0"/>
    <w:p w:rsidR="00EB4828" w:rsidRDefault="00710067" w:rsidP="000B34FF">
      <w:p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El</w:t>
      </w:r>
      <w:r w:rsidR="00EB4828">
        <w:rPr>
          <w:rFonts w:ascii="Arial" w:hAnsi="Arial" w:cs="Arial"/>
          <w:sz w:val="28"/>
          <w:szCs w:val="28"/>
          <w:lang w:val="es-ES_tradnl"/>
        </w:rPr>
        <w:t xml:space="preserve"> precepto europeo</w:t>
      </w:r>
      <w:r w:rsidR="00F2220C">
        <w:rPr>
          <w:rFonts w:ascii="Arial" w:hAnsi="Arial" w:cs="Arial"/>
          <w:sz w:val="28"/>
          <w:szCs w:val="28"/>
          <w:lang w:val="es-ES_tradnl"/>
        </w:rPr>
        <w:t xml:space="preserve"> contenido en el artículo 3.1 de la Carta de derechos fundamentales de la UE</w:t>
      </w:r>
      <w:r w:rsidR="00EB4828">
        <w:rPr>
          <w:rFonts w:ascii="Arial" w:hAnsi="Arial" w:cs="Arial"/>
          <w:sz w:val="28"/>
          <w:szCs w:val="28"/>
          <w:lang w:val="es-ES_tradnl"/>
        </w:rPr>
        <w:t xml:space="preserve"> ha servido de fundamento de derecho al Tribunal Supremo italiano para emitir una sentencia innovadora</w:t>
      </w:r>
      <w:r w:rsidR="000C6A6A">
        <w:rPr>
          <w:rFonts w:ascii="Arial" w:hAnsi="Arial" w:cs="Arial"/>
          <w:sz w:val="28"/>
          <w:szCs w:val="28"/>
          <w:lang w:val="es-ES_tradnl"/>
        </w:rPr>
        <w:t xml:space="preserve"> (</w:t>
      </w:r>
      <w:r w:rsidR="00241DAB">
        <w:rPr>
          <w:rFonts w:ascii="Arial" w:hAnsi="Arial" w:cs="Arial"/>
          <w:sz w:val="28"/>
          <w:szCs w:val="28"/>
          <w:lang w:val="es-ES_tradnl"/>
        </w:rPr>
        <w:t>sección III, 2.10.2012, n.16754)</w:t>
      </w:r>
      <w:r w:rsidR="00EB4828">
        <w:rPr>
          <w:rFonts w:ascii="Arial" w:hAnsi="Arial" w:cs="Arial"/>
          <w:sz w:val="28"/>
          <w:szCs w:val="28"/>
          <w:lang w:val="es-ES_tradnl"/>
        </w:rPr>
        <w:t>, respecto de la jurisprudenc</w:t>
      </w:r>
      <w:r w:rsidR="00F2220C">
        <w:rPr>
          <w:rFonts w:ascii="Arial" w:hAnsi="Arial" w:cs="Arial"/>
          <w:sz w:val="28"/>
          <w:szCs w:val="28"/>
          <w:lang w:val="es-ES_tradnl"/>
        </w:rPr>
        <w:t>ia que había sentado hasta entonces</w:t>
      </w:r>
      <w:r w:rsidR="00EB4828">
        <w:rPr>
          <w:rFonts w:ascii="Arial" w:hAnsi="Arial" w:cs="Arial"/>
          <w:sz w:val="28"/>
          <w:szCs w:val="28"/>
          <w:lang w:val="es-ES_tradnl"/>
        </w:rPr>
        <w:t xml:space="preserve">, proclamando la tutela del </w:t>
      </w:r>
      <w:r w:rsidR="00EB4828">
        <w:rPr>
          <w:rFonts w:ascii="Arial" w:hAnsi="Arial" w:cs="Arial"/>
          <w:b/>
          <w:sz w:val="28"/>
          <w:szCs w:val="28"/>
          <w:lang w:val="es-ES_tradnl"/>
        </w:rPr>
        <w:t xml:space="preserve">derecho a la salud del </w:t>
      </w:r>
      <w:proofErr w:type="spellStart"/>
      <w:r w:rsidR="00EB4828">
        <w:rPr>
          <w:rFonts w:ascii="Arial" w:hAnsi="Arial" w:cs="Arial"/>
          <w:b/>
          <w:i/>
          <w:sz w:val="28"/>
          <w:szCs w:val="28"/>
          <w:lang w:val="es-ES_tradnl"/>
        </w:rPr>
        <w:t>nasciturus</w:t>
      </w:r>
      <w:proofErr w:type="spellEnd"/>
      <w:r w:rsidR="00EB4828">
        <w:rPr>
          <w:rFonts w:ascii="Arial" w:hAnsi="Arial" w:cs="Arial"/>
          <w:sz w:val="28"/>
          <w:szCs w:val="28"/>
          <w:lang w:val="es-ES_tradnl"/>
        </w:rPr>
        <w:t>.</w:t>
      </w:r>
    </w:p>
    <w:p w:rsidR="000C6A6A" w:rsidRDefault="00EB4828" w:rsidP="000B34FF">
      <w:p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El supuesto de hecho </w:t>
      </w:r>
      <w:r w:rsidR="000C6A6A">
        <w:rPr>
          <w:rFonts w:ascii="Arial" w:hAnsi="Arial" w:cs="Arial"/>
          <w:sz w:val="28"/>
          <w:szCs w:val="28"/>
          <w:lang w:val="es-ES_tradnl"/>
        </w:rPr>
        <w:t>es el siguiente: la demandante reclama contra el ginecólogo con el que había celebrado el correspondiente arrendamiento de servicios profesionales de asistencia durante el embarazo y el parto, afirmando la responsabilidad contractual del dema</w:t>
      </w:r>
      <w:r w:rsidR="00F2220C">
        <w:rPr>
          <w:rFonts w:ascii="Arial" w:hAnsi="Arial" w:cs="Arial"/>
          <w:sz w:val="28"/>
          <w:szCs w:val="28"/>
          <w:lang w:val="es-ES_tradnl"/>
        </w:rPr>
        <w:t>ndado por negligencia médica al</w:t>
      </w:r>
      <w:r w:rsidR="000C6A6A">
        <w:rPr>
          <w:rFonts w:ascii="Arial" w:hAnsi="Arial" w:cs="Arial"/>
          <w:sz w:val="28"/>
          <w:szCs w:val="28"/>
          <w:lang w:val="es-ES_tradnl"/>
        </w:rPr>
        <w:t xml:space="preserve"> omitir algunas pruebas diagnósticas –entre ellas el examen de amniocentesis- que, de haberse practicado, le habrían permitido decidir si seguía adelante o no con su embarazo. La niña nació afectada por el síndrome de Down.</w:t>
      </w:r>
    </w:p>
    <w:p w:rsidR="00EB4828" w:rsidRDefault="000C6A6A" w:rsidP="000B34FF">
      <w:pPr>
        <w:jc w:val="both"/>
        <w:rPr>
          <w:rFonts w:ascii="Arial" w:hAnsi="Arial" w:cs="Arial"/>
          <w:sz w:val="28"/>
          <w:szCs w:val="28"/>
          <w:lang w:val="es-ES_tradnl"/>
        </w:rPr>
      </w:pPr>
      <w:r w:rsidRPr="00241DAB">
        <w:rPr>
          <w:rFonts w:ascii="Arial" w:hAnsi="Arial" w:cs="Arial"/>
          <w:sz w:val="28"/>
          <w:szCs w:val="28"/>
          <w:lang w:val="es-ES_tradnl"/>
        </w:rPr>
        <w:t xml:space="preserve">La Corte di </w:t>
      </w:r>
      <w:proofErr w:type="spellStart"/>
      <w:r w:rsidRPr="00241DAB">
        <w:rPr>
          <w:rFonts w:ascii="Arial" w:hAnsi="Arial" w:cs="Arial"/>
          <w:sz w:val="28"/>
          <w:szCs w:val="28"/>
          <w:lang w:val="es-ES_tradnl"/>
        </w:rPr>
        <w:t>Cassazione</w:t>
      </w:r>
      <w:proofErr w:type="spellEnd"/>
      <w:r w:rsidRPr="00241DAB">
        <w:rPr>
          <w:rFonts w:ascii="Arial" w:hAnsi="Arial" w:cs="Arial"/>
          <w:sz w:val="28"/>
          <w:szCs w:val="28"/>
          <w:lang w:val="es-ES_tradnl"/>
        </w:rPr>
        <w:t xml:space="preserve"> anula la sentencia de la Corte </w:t>
      </w:r>
      <w:proofErr w:type="spellStart"/>
      <w:r w:rsidRPr="00241DAB">
        <w:rPr>
          <w:rFonts w:ascii="Arial" w:hAnsi="Arial" w:cs="Arial"/>
          <w:sz w:val="28"/>
          <w:szCs w:val="28"/>
          <w:lang w:val="es-ES_tradnl"/>
        </w:rPr>
        <w:t>territoriale</w:t>
      </w:r>
      <w:proofErr w:type="spellEnd"/>
      <w:r w:rsidRPr="00241DAB">
        <w:rPr>
          <w:rFonts w:ascii="Arial" w:hAnsi="Arial" w:cs="Arial"/>
          <w:sz w:val="28"/>
          <w:szCs w:val="28"/>
          <w:lang w:val="es-ES_tradnl"/>
        </w:rPr>
        <w:t xml:space="preserve"> de Venecia </w:t>
      </w:r>
      <w:r w:rsidR="00241DAB" w:rsidRPr="00241DAB">
        <w:rPr>
          <w:rFonts w:ascii="Arial" w:hAnsi="Arial" w:cs="Arial"/>
          <w:sz w:val="28"/>
          <w:szCs w:val="28"/>
          <w:lang w:val="es-ES_tradnl"/>
        </w:rPr>
        <w:t xml:space="preserve">y le atribuye directamente al </w:t>
      </w:r>
      <w:proofErr w:type="spellStart"/>
      <w:r w:rsidR="00241DAB" w:rsidRPr="00241DAB">
        <w:rPr>
          <w:rFonts w:ascii="Arial" w:hAnsi="Arial" w:cs="Arial"/>
          <w:i/>
          <w:sz w:val="28"/>
          <w:szCs w:val="28"/>
          <w:lang w:val="es-ES_tradnl"/>
        </w:rPr>
        <w:t>nasciturus</w:t>
      </w:r>
      <w:proofErr w:type="spellEnd"/>
      <w:r w:rsidR="00241DAB">
        <w:rPr>
          <w:rFonts w:ascii="Arial" w:hAnsi="Arial" w:cs="Arial"/>
          <w:sz w:val="28"/>
          <w:szCs w:val="28"/>
          <w:lang w:val="es-ES_tradnl"/>
        </w:rPr>
        <w:t xml:space="preserve"> (la niña nacida Down) </w:t>
      </w:r>
      <w:r w:rsidR="00241DAB" w:rsidRPr="00241DAB">
        <w:rPr>
          <w:rFonts w:ascii="Arial" w:hAnsi="Arial" w:cs="Arial"/>
          <w:sz w:val="28"/>
          <w:szCs w:val="28"/>
          <w:lang w:val="es-ES_tradnl"/>
        </w:rPr>
        <w:t>el derecho</w:t>
      </w:r>
      <w:r w:rsidR="00241DAB">
        <w:rPr>
          <w:rFonts w:ascii="Arial" w:hAnsi="Arial" w:cs="Arial"/>
          <w:sz w:val="28"/>
          <w:szCs w:val="28"/>
          <w:lang w:val="es-ES_tradnl"/>
        </w:rPr>
        <w:t xml:space="preserve"> a ser resarcida por el daño causado a su salud</w:t>
      </w:r>
      <w:r w:rsidR="00EB4828" w:rsidRPr="00241DAB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241DAB">
        <w:rPr>
          <w:rFonts w:ascii="Arial" w:hAnsi="Arial" w:cs="Arial"/>
          <w:sz w:val="28"/>
          <w:szCs w:val="28"/>
          <w:lang w:val="es-ES_tradnl"/>
        </w:rPr>
        <w:t>a consecuencia de la omisión de diagnóstico de malformaciones fetales y consiguiente nacimiento indeseado, por cuanto el interés a la procreación consciente y responsable no pertenece sólo a la madre, sino también al futuro niño de no llevar una vida impedida.</w:t>
      </w:r>
    </w:p>
    <w:p w:rsidR="00241DAB" w:rsidRPr="00241DAB" w:rsidRDefault="00241DAB" w:rsidP="000B34FF">
      <w:p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La sentencia se fundamenta  esencialmente en los principios del derecho europeo en esta materia, afirmando que “el </w:t>
      </w:r>
      <w:proofErr w:type="spellStart"/>
      <w:r>
        <w:rPr>
          <w:rFonts w:ascii="Arial" w:hAnsi="Arial" w:cs="Arial"/>
          <w:i/>
          <w:sz w:val="28"/>
          <w:szCs w:val="28"/>
          <w:lang w:val="es-ES_tradnl"/>
        </w:rPr>
        <w:t>nasciturus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tiene el derecho a nacer sano, en virtud de los arts. 2</w:t>
      </w:r>
      <w:r w:rsidR="00D67644">
        <w:rPr>
          <w:rFonts w:ascii="Arial" w:hAnsi="Arial" w:cs="Arial"/>
          <w:sz w:val="28"/>
          <w:szCs w:val="28"/>
          <w:lang w:val="es-ES_tradnl"/>
        </w:rPr>
        <w:t xml:space="preserve"> (derechos inviolables del hombre)</w:t>
      </w:r>
      <w:r>
        <w:rPr>
          <w:rFonts w:ascii="Arial" w:hAnsi="Arial" w:cs="Arial"/>
          <w:sz w:val="28"/>
          <w:szCs w:val="28"/>
          <w:lang w:val="es-ES_tradnl"/>
        </w:rPr>
        <w:t xml:space="preserve"> y 32</w:t>
      </w:r>
      <w:r w:rsidR="00D67644">
        <w:rPr>
          <w:rFonts w:ascii="Arial" w:hAnsi="Arial" w:cs="Arial"/>
          <w:sz w:val="28"/>
          <w:szCs w:val="28"/>
          <w:lang w:val="es-ES_tradnl"/>
        </w:rPr>
        <w:t>(derecho a la salud)</w:t>
      </w:r>
      <w:r>
        <w:rPr>
          <w:rFonts w:ascii="Arial" w:hAnsi="Arial" w:cs="Arial"/>
          <w:sz w:val="28"/>
          <w:szCs w:val="28"/>
          <w:lang w:val="es-ES_tradnl"/>
        </w:rPr>
        <w:t xml:space="preserve"> de la Constitución italiana y del art. 3 de la Carta de derechos </w:t>
      </w:r>
      <w:r w:rsidR="000B34FF">
        <w:rPr>
          <w:rFonts w:ascii="Arial" w:hAnsi="Arial" w:cs="Arial"/>
          <w:sz w:val="28"/>
          <w:szCs w:val="28"/>
          <w:lang w:val="es-ES_tradnl"/>
        </w:rPr>
        <w:t>fundamentales de la UE.</w:t>
      </w:r>
    </w:p>
    <w:p w:rsidR="000B34FF" w:rsidRDefault="000B34FF" w:rsidP="000B34FF">
      <w:p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Art. 3.1 Carta de los derechos fundamentales de la UE (Niza, 7 dic. 2000/C  364/01): “Toda persona tiene derecho a su integridad física y psíquica”.</w:t>
      </w:r>
    </w:p>
    <w:p w:rsidR="000B34FF" w:rsidRDefault="000B34FF" w:rsidP="000B34FF">
      <w:pPr>
        <w:jc w:val="both"/>
        <w:rPr>
          <w:rFonts w:ascii="Arial" w:hAnsi="Arial" w:cs="Arial"/>
          <w:lang w:val="it-IT"/>
        </w:rPr>
      </w:pPr>
    </w:p>
    <w:p w:rsidR="00241DAB" w:rsidRPr="000B34FF" w:rsidRDefault="000B34FF" w:rsidP="000B34FF">
      <w:pPr>
        <w:jc w:val="both"/>
        <w:rPr>
          <w:rFonts w:ascii="Arial" w:hAnsi="Arial" w:cs="Arial"/>
          <w:lang w:val="it-IT"/>
        </w:rPr>
      </w:pPr>
      <w:r w:rsidRPr="000B34FF">
        <w:rPr>
          <w:rFonts w:ascii="Arial" w:hAnsi="Arial" w:cs="Arial"/>
          <w:lang w:val="it-IT"/>
        </w:rPr>
        <w:t>*Caso extraído de A. Palma,</w:t>
      </w:r>
      <w:r w:rsidRPr="000B34FF">
        <w:rPr>
          <w:rFonts w:ascii="Arial" w:hAnsi="Arial" w:cs="Arial"/>
          <w:i/>
          <w:lang w:val="it-IT"/>
        </w:rPr>
        <w:t xml:space="preserve">Il nascituro come problema continuo nella storia del diritto, </w:t>
      </w:r>
      <w:r w:rsidR="001D11C2">
        <w:rPr>
          <w:rFonts w:ascii="Arial" w:hAnsi="Arial" w:cs="Arial"/>
          <w:lang w:val="it-IT"/>
        </w:rPr>
        <w:t>TSDP VII</w:t>
      </w:r>
      <w:r w:rsidRPr="000B34FF">
        <w:rPr>
          <w:rFonts w:ascii="Arial" w:hAnsi="Arial" w:cs="Arial"/>
          <w:lang w:val="it-IT"/>
        </w:rPr>
        <w:t>, 2014,33ss.</w:t>
      </w:r>
    </w:p>
    <w:p w:rsidR="00EB4828" w:rsidRPr="000B34FF" w:rsidRDefault="00EB4828" w:rsidP="000B34FF">
      <w:pPr>
        <w:jc w:val="both"/>
        <w:rPr>
          <w:rFonts w:ascii="Arial" w:hAnsi="Arial" w:cs="Arial"/>
          <w:sz w:val="28"/>
          <w:szCs w:val="28"/>
          <w:lang w:val="it-IT"/>
        </w:rPr>
      </w:pPr>
    </w:p>
    <w:sectPr w:rsidR="00EB4828" w:rsidRPr="000B3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136D0"/>
    <w:multiLevelType w:val="hybridMultilevel"/>
    <w:tmpl w:val="BEA8EB20"/>
    <w:lvl w:ilvl="0" w:tplc="F4D8BD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28"/>
    <w:rsid w:val="000B34FF"/>
    <w:rsid w:val="000C4077"/>
    <w:rsid w:val="000C6A6A"/>
    <w:rsid w:val="000D4C99"/>
    <w:rsid w:val="001D11C2"/>
    <w:rsid w:val="00241DAB"/>
    <w:rsid w:val="00710067"/>
    <w:rsid w:val="00B049F6"/>
    <w:rsid w:val="00D67644"/>
    <w:rsid w:val="00EB4828"/>
    <w:rsid w:val="00F2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A5300-B108-4299-A47C-A3B6A103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gutierrez masson</dc:creator>
  <cp:lastModifiedBy>Usuario</cp:lastModifiedBy>
  <cp:revision>2</cp:revision>
  <dcterms:created xsi:type="dcterms:W3CDTF">2015-02-27T07:54:00Z</dcterms:created>
  <dcterms:modified xsi:type="dcterms:W3CDTF">2015-02-27T07:54:00Z</dcterms:modified>
</cp:coreProperties>
</file>